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709F8" w14:textId="77777777" w:rsidR="00BB2875" w:rsidRPr="00874EEB" w:rsidRDefault="00874EEB" w:rsidP="001C4ECC">
      <w:pPr>
        <w:jc w:val="center"/>
        <w:rPr>
          <w:b/>
          <w:sz w:val="32"/>
          <w:szCs w:val="32"/>
        </w:rPr>
      </w:pPr>
      <w:r w:rsidRPr="00874EEB">
        <w:rPr>
          <w:b/>
          <w:sz w:val="32"/>
          <w:szCs w:val="32"/>
        </w:rPr>
        <w:t>Metrics to T</w:t>
      </w:r>
      <w:r w:rsidR="001C4ECC" w:rsidRPr="00874EEB">
        <w:rPr>
          <w:b/>
          <w:sz w:val="32"/>
          <w:szCs w:val="32"/>
        </w:rPr>
        <w:t>rack for Culture Change</w:t>
      </w:r>
    </w:p>
    <w:p w14:paraId="5B46688D" w14:textId="77777777" w:rsidR="00BB2875" w:rsidRPr="00874EEB" w:rsidRDefault="00971542" w:rsidP="001C4EC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C4ECC" w:rsidRPr="00874EEB">
        <w:rPr>
          <w:sz w:val="28"/>
          <w:szCs w:val="28"/>
        </w:rPr>
        <w:t>How providers talk</w:t>
      </w:r>
      <w:r w:rsidR="00BB2875" w:rsidRPr="00874EEB">
        <w:rPr>
          <w:sz w:val="28"/>
          <w:szCs w:val="28"/>
        </w:rPr>
        <w:t xml:space="preserve"> </w:t>
      </w:r>
      <w:r w:rsidR="001C4ECC" w:rsidRPr="00874EEB">
        <w:rPr>
          <w:sz w:val="28"/>
          <w:szCs w:val="28"/>
        </w:rPr>
        <w:t>and write</w:t>
      </w:r>
      <w:r w:rsidR="00F906E5" w:rsidRPr="00874EEB">
        <w:rPr>
          <w:sz w:val="28"/>
          <w:szCs w:val="28"/>
        </w:rPr>
        <w:t xml:space="preserve"> </w:t>
      </w:r>
      <w:r w:rsidR="00BB2875" w:rsidRPr="00874EEB">
        <w:rPr>
          <w:sz w:val="28"/>
          <w:szCs w:val="28"/>
        </w:rPr>
        <w:t>about youth and families</w:t>
      </w:r>
    </w:p>
    <w:p w14:paraId="3725D3FF" w14:textId="77777777" w:rsidR="00BB2875" w:rsidRDefault="00971542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1C4ECC" w:rsidRPr="00874EEB">
        <w:rPr>
          <w:sz w:val="28"/>
          <w:szCs w:val="28"/>
        </w:rPr>
        <w:t xml:space="preserve">How they explain the </w:t>
      </w:r>
      <w:r w:rsidR="00BB2875" w:rsidRPr="00874EEB">
        <w:rPr>
          <w:sz w:val="28"/>
          <w:szCs w:val="28"/>
        </w:rPr>
        <w:t>behavior of youth and families</w:t>
      </w:r>
    </w:p>
    <w:p w14:paraId="4142B142" w14:textId="77777777" w:rsidR="00971542" w:rsidRPr="00874EEB" w:rsidRDefault="00971542">
      <w:pPr>
        <w:rPr>
          <w:sz w:val="28"/>
          <w:szCs w:val="28"/>
        </w:rPr>
      </w:pPr>
      <w:r>
        <w:rPr>
          <w:sz w:val="28"/>
          <w:szCs w:val="28"/>
        </w:rPr>
        <w:t>3 How families and youth stay connected</w:t>
      </w:r>
    </w:p>
    <w:p w14:paraId="3696FFBA" w14:textId="77777777" w:rsidR="00BB2875" w:rsidRPr="009D75DD" w:rsidRDefault="00BB2875">
      <w:pPr>
        <w:rPr>
          <w:b/>
          <w:sz w:val="24"/>
          <w:szCs w:val="24"/>
        </w:rPr>
      </w:pPr>
      <w:r w:rsidRPr="009D75DD">
        <w:rPr>
          <w:b/>
          <w:sz w:val="24"/>
          <w:szCs w:val="24"/>
        </w:rPr>
        <w:t>Some</w:t>
      </w:r>
      <w:r w:rsidR="001C4ECC" w:rsidRPr="009D75DD">
        <w:rPr>
          <w:b/>
          <w:sz w:val="24"/>
          <w:szCs w:val="24"/>
        </w:rPr>
        <w:t xml:space="preserve"> L</w:t>
      </w:r>
      <w:r w:rsidRPr="009D75DD">
        <w:rPr>
          <w:b/>
          <w:sz w:val="24"/>
          <w:szCs w:val="24"/>
        </w:rPr>
        <w:t>anguage</w:t>
      </w:r>
      <w:r w:rsidR="001C4ECC" w:rsidRPr="009D75DD">
        <w:rPr>
          <w:b/>
          <w:sz w:val="24"/>
          <w:szCs w:val="24"/>
        </w:rPr>
        <w:t xml:space="preserve"> Parameters</w:t>
      </w:r>
    </w:p>
    <w:p w14:paraId="59DD58BD" w14:textId="77777777" w:rsidR="00BB2875" w:rsidRDefault="009D75DD" w:rsidP="001C4ECC">
      <w:pPr>
        <w:pStyle w:val="ListParagraph"/>
        <w:numPr>
          <w:ilvl w:val="0"/>
          <w:numId w:val="1"/>
        </w:numPr>
      </w:pPr>
      <w:r>
        <w:t xml:space="preserve">A. </w:t>
      </w:r>
      <w:r w:rsidR="00BB2875" w:rsidRPr="001316C5">
        <w:rPr>
          <w:sz w:val="24"/>
          <w:szCs w:val="24"/>
        </w:rPr>
        <w:t xml:space="preserve">Use of person-centered </w:t>
      </w:r>
      <w:r w:rsidR="003A1EEC" w:rsidRPr="001316C5">
        <w:rPr>
          <w:sz w:val="24"/>
          <w:szCs w:val="24"/>
        </w:rPr>
        <w:t xml:space="preserve">and strength-based </w:t>
      </w:r>
      <w:r w:rsidR="00BB2875" w:rsidRPr="001316C5">
        <w:rPr>
          <w:sz w:val="24"/>
          <w:szCs w:val="24"/>
        </w:rPr>
        <w:t>language</w:t>
      </w:r>
    </w:p>
    <w:p w14:paraId="1BA22028" w14:textId="77777777" w:rsidR="001C4ECC" w:rsidRDefault="001C4ECC" w:rsidP="001C4ECC">
      <w:pPr>
        <w:pStyle w:val="ListParagraph"/>
      </w:pPr>
    </w:p>
    <w:p w14:paraId="35B85BAC" w14:textId="77777777" w:rsidR="001C4ECC" w:rsidRDefault="001C4ECC" w:rsidP="001C4ECC">
      <w:pPr>
        <w:pStyle w:val="ListParagraph"/>
      </w:pPr>
      <w:r>
        <w:rPr>
          <w:noProof/>
        </w:rPr>
        <w:drawing>
          <wp:inline distT="0" distB="0" distL="0" distR="0" wp14:anchorId="03311C0F" wp14:editId="0E0E1064">
            <wp:extent cx="5486400" cy="406400"/>
            <wp:effectExtent l="0" t="12700" r="50800" b="2540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7CA1B7B6" w14:textId="77777777" w:rsidR="001C4ECC" w:rsidRDefault="00122D4A" w:rsidP="00122D4A">
      <w:pPr>
        <w:tabs>
          <w:tab w:val="left" w:pos="5330"/>
        </w:tabs>
      </w:pPr>
      <w:r>
        <w:t xml:space="preserve">                Child, Youth Young Adult, Caregiver, Parent            Kiddo, Client, Case, Consumer, Mom and Dad</w:t>
      </w:r>
    </w:p>
    <w:p w14:paraId="6311C656" w14:textId="77777777" w:rsidR="001C4ECC" w:rsidRDefault="00122D4A">
      <w:r>
        <w:t xml:space="preserve">                Person diagnosed with schizophrenia                       A Schizophrenic </w:t>
      </w:r>
    </w:p>
    <w:p w14:paraId="3BF2CFF2" w14:textId="77777777" w:rsidR="001C4ECC" w:rsidRDefault="00122D4A">
      <w:r>
        <w:t xml:space="preserve">                Not engaged                                                                   Not motivated</w:t>
      </w:r>
    </w:p>
    <w:p w14:paraId="6D2056AC" w14:textId="77777777" w:rsidR="001C4ECC" w:rsidRDefault="00122D4A" w:rsidP="00122D4A">
      <w:pPr>
        <w:tabs>
          <w:tab w:val="left" w:pos="5350"/>
        </w:tabs>
      </w:pPr>
      <w:r>
        <w:t xml:space="preserve">                Transition                                                                        Discharge, close, terminate</w:t>
      </w:r>
    </w:p>
    <w:p w14:paraId="0CA9E392" w14:textId="77777777" w:rsidR="001C4ECC" w:rsidRDefault="00122D4A" w:rsidP="00122D4A">
      <w:pPr>
        <w:tabs>
          <w:tab w:val="left" w:pos="5350"/>
        </w:tabs>
      </w:pPr>
      <w:r>
        <w:t xml:space="preserve">                Treatment, care                             </w:t>
      </w:r>
      <w:r w:rsidR="001316C5">
        <w:t xml:space="preserve">                               </w:t>
      </w:r>
      <w:r>
        <w:t xml:space="preserve"> Placement</w:t>
      </w:r>
    </w:p>
    <w:p w14:paraId="6C8C1ED8" w14:textId="77777777" w:rsidR="001C4ECC" w:rsidRDefault="001316C5" w:rsidP="00874EEB">
      <w:pPr>
        <w:tabs>
          <w:tab w:val="left" w:pos="5350"/>
        </w:tabs>
      </w:pPr>
      <w:r>
        <w:t xml:space="preserve">                Missing                                                                            </w:t>
      </w:r>
      <w:r w:rsidR="00874EEB">
        <w:t>AWOL, Runaway</w:t>
      </w:r>
    </w:p>
    <w:p w14:paraId="56883742" w14:textId="77777777" w:rsidR="001C4ECC" w:rsidRDefault="00874EEB" w:rsidP="00874EEB">
      <w:pPr>
        <w:tabs>
          <w:tab w:val="left" w:pos="5350"/>
        </w:tabs>
      </w:pPr>
      <w:r>
        <w:t xml:space="preserve">              </w:t>
      </w:r>
      <w:r w:rsidR="001316C5">
        <w:t xml:space="preserve">  Therapeutic Leave, going home                                 </w:t>
      </w:r>
      <w:proofErr w:type="spellStart"/>
      <w:r>
        <w:t>Home</w:t>
      </w:r>
      <w:proofErr w:type="spellEnd"/>
      <w:r>
        <w:t xml:space="preserve"> visit (we don’t visit our homes)</w:t>
      </w:r>
    </w:p>
    <w:p w14:paraId="42BCC34E" w14:textId="77777777" w:rsidR="001C4ECC" w:rsidRDefault="002D70DB" w:rsidP="00874EEB">
      <w:pPr>
        <w:tabs>
          <w:tab w:val="left" w:pos="5350"/>
        </w:tabs>
      </w:pPr>
      <w:r>
        <w:t xml:space="preserve">                Address</w:t>
      </w:r>
      <w:r w:rsidR="001316C5">
        <w:t xml:space="preserve">                                                     </w:t>
      </w:r>
      <w:r>
        <w:t xml:space="preserve">                      Fix</w:t>
      </w:r>
    </w:p>
    <w:p w14:paraId="5E9D697E" w14:textId="77777777" w:rsidR="001C4ECC" w:rsidRDefault="00874EEB" w:rsidP="00874EEB">
      <w:pPr>
        <w:tabs>
          <w:tab w:val="center" w:pos="5040"/>
        </w:tabs>
        <w:ind w:firstLine="720"/>
      </w:pPr>
      <w:r>
        <w:t xml:space="preserve"> Serious</w:t>
      </w:r>
      <w:r>
        <w:tab/>
        <w:t xml:space="preserve">                                                                 Complex, high or intense needs</w:t>
      </w:r>
    </w:p>
    <w:p w14:paraId="57E4DEAA" w14:textId="77777777" w:rsidR="003A1EEC" w:rsidRDefault="00A65629">
      <w:r>
        <w:t xml:space="preserve">  </w:t>
      </w:r>
      <w:r w:rsidR="009D75DD">
        <w:tab/>
        <w:t xml:space="preserve">B. </w:t>
      </w:r>
      <w:r w:rsidR="003A1EEC">
        <w:t xml:space="preserve"> </w:t>
      </w:r>
      <w:r w:rsidR="003A1EEC" w:rsidRPr="001316C5">
        <w:t xml:space="preserve">How embedded is </w:t>
      </w:r>
      <w:r w:rsidRPr="001316C5">
        <w:t xml:space="preserve">family friendly </w:t>
      </w:r>
      <w:r w:rsidR="003A1EEC" w:rsidRPr="001316C5">
        <w:t>language in documentation?</w:t>
      </w:r>
      <w:r w:rsidRPr="001316C5">
        <w:t xml:space="preserve"> Is this reinforced at all levels?</w:t>
      </w:r>
    </w:p>
    <w:p w14:paraId="023EFC13" w14:textId="77777777" w:rsidR="003A1EEC" w:rsidRDefault="00A65629">
      <w:r>
        <w:t xml:space="preserve">   </w:t>
      </w:r>
      <w:r>
        <w:tab/>
      </w:r>
      <w:r w:rsidR="003A1EEC">
        <w:t>Handbooks</w:t>
      </w:r>
    </w:p>
    <w:p w14:paraId="45590FFC" w14:textId="77777777" w:rsidR="003A1EEC" w:rsidRDefault="003A1EEC" w:rsidP="00A65629">
      <w:pPr>
        <w:ind w:firstLine="720"/>
      </w:pPr>
      <w:r>
        <w:t>Logs</w:t>
      </w:r>
    </w:p>
    <w:p w14:paraId="04C72167" w14:textId="77777777" w:rsidR="003A1EEC" w:rsidRDefault="003A1EEC" w:rsidP="00A65629">
      <w:pPr>
        <w:ind w:firstLine="720"/>
      </w:pPr>
      <w:r>
        <w:t>Notes</w:t>
      </w:r>
    </w:p>
    <w:p w14:paraId="66591148" w14:textId="77777777" w:rsidR="003A1EEC" w:rsidRDefault="003A1EEC" w:rsidP="00A65629">
      <w:pPr>
        <w:ind w:firstLine="720"/>
      </w:pPr>
      <w:r>
        <w:t>Spoken word</w:t>
      </w:r>
    </w:p>
    <w:p w14:paraId="01F8DF16" w14:textId="77777777" w:rsidR="003A1EEC" w:rsidRDefault="003A1EEC" w:rsidP="00A65629">
      <w:pPr>
        <w:ind w:firstLine="720"/>
      </w:pPr>
      <w:r>
        <w:t>Staff meetings</w:t>
      </w:r>
    </w:p>
    <w:p w14:paraId="4392FFFF" w14:textId="77777777" w:rsidR="003A1EEC" w:rsidRDefault="003A1EEC" w:rsidP="00A65629">
      <w:pPr>
        <w:ind w:firstLine="720"/>
      </w:pPr>
      <w:r>
        <w:t>Treatment Team meetings</w:t>
      </w:r>
    </w:p>
    <w:p w14:paraId="7973AB88" w14:textId="77777777" w:rsidR="003A1EEC" w:rsidRDefault="003A1EEC" w:rsidP="00A65629">
      <w:pPr>
        <w:ind w:firstLine="720"/>
      </w:pPr>
      <w:r>
        <w:t>All agency paperwork</w:t>
      </w:r>
    </w:p>
    <w:p w14:paraId="658885B4" w14:textId="77777777" w:rsidR="003A1EEC" w:rsidRDefault="003A1EEC" w:rsidP="00A65629">
      <w:pPr>
        <w:ind w:firstLine="720"/>
      </w:pPr>
      <w:r>
        <w:t>Treatment Plans</w:t>
      </w:r>
    </w:p>
    <w:p w14:paraId="417E29A0" w14:textId="77777777" w:rsidR="003A1EEC" w:rsidRDefault="003A1EEC" w:rsidP="00A65629">
      <w:pPr>
        <w:ind w:firstLine="720"/>
      </w:pPr>
      <w:r>
        <w:t>Transition summaries</w:t>
      </w:r>
    </w:p>
    <w:p w14:paraId="68A68AD1" w14:textId="77777777" w:rsidR="00CF42D6" w:rsidRDefault="00CF42D6">
      <w:pPr>
        <w:rPr>
          <w:b/>
        </w:rPr>
      </w:pPr>
    </w:p>
    <w:p w14:paraId="200FB3CC" w14:textId="3589203D" w:rsidR="00874EEB" w:rsidRDefault="00971542">
      <w:pPr>
        <w:rPr>
          <w:b/>
        </w:rPr>
      </w:pPr>
      <w:r>
        <w:rPr>
          <w:b/>
        </w:rPr>
        <w:lastRenderedPageBreak/>
        <w:t xml:space="preserve">2 </w:t>
      </w:r>
      <w:r w:rsidR="00874EEB" w:rsidRPr="00874EEB">
        <w:rPr>
          <w:b/>
        </w:rPr>
        <w:t>How is the behavior of youth and caregivers explained?</w:t>
      </w:r>
    </w:p>
    <w:p w14:paraId="15715654" w14:textId="77777777" w:rsidR="00FB129F" w:rsidRDefault="00AC2081">
      <w:r w:rsidRPr="00AC2081">
        <w:t>All behavior is communication</w:t>
      </w:r>
      <w:r>
        <w:t>.  Are folks curious about what is going on? Do they use a trauma lens?</w:t>
      </w:r>
      <w:r w:rsidR="006A79DB">
        <w:t xml:space="preserve"> Do they keep data to be better able to identify </w:t>
      </w:r>
      <w:r w:rsidR="006A79DB" w:rsidRPr="00ED22B5">
        <w:rPr>
          <w:b/>
        </w:rPr>
        <w:t>triggers, needs, skill deficits</w:t>
      </w:r>
      <w:r w:rsidR="006A79DB">
        <w:t>? The Beacon House “</w:t>
      </w:r>
      <w:r w:rsidR="00FB129F">
        <w:t>What we S</w:t>
      </w:r>
      <w:r w:rsidR="006A79DB">
        <w:t>ay” comic gives examples of how the explanation can</w:t>
      </w:r>
      <w:r w:rsidR="00FB129F">
        <w:t xml:space="preserve"> influence our responses. Other examples of explanations that are not helpful:</w:t>
      </w:r>
    </w:p>
    <w:p w14:paraId="3809975A" w14:textId="77777777" w:rsidR="00FB129F" w:rsidRDefault="00FB129F" w:rsidP="00971542">
      <w:pPr>
        <w:spacing w:after="0"/>
      </w:pPr>
      <w:r>
        <w:t>Manipulative</w:t>
      </w:r>
      <w:r w:rsidR="00ED22B5">
        <w:t xml:space="preserve"> </w:t>
      </w:r>
    </w:p>
    <w:p w14:paraId="6300326F" w14:textId="77777777" w:rsidR="00FB129F" w:rsidRDefault="00FB129F" w:rsidP="00971542">
      <w:pPr>
        <w:spacing w:after="0"/>
      </w:pPr>
      <w:r>
        <w:t>Liar</w:t>
      </w:r>
    </w:p>
    <w:p w14:paraId="199BA4E4" w14:textId="77777777" w:rsidR="00FB129F" w:rsidRDefault="00FB129F" w:rsidP="00971542">
      <w:pPr>
        <w:spacing w:after="0"/>
      </w:pPr>
      <w:r>
        <w:t>Non-compliant</w:t>
      </w:r>
    </w:p>
    <w:p w14:paraId="03118D22" w14:textId="77777777" w:rsidR="00FB129F" w:rsidRDefault="00FB129F" w:rsidP="00971542">
      <w:pPr>
        <w:spacing w:after="0"/>
      </w:pPr>
      <w:r>
        <w:t>Unmotivated</w:t>
      </w:r>
    </w:p>
    <w:p w14:paraId="535FFDB5" w14:textId="77777777" w:rsidR="00FB129F" w:rsidRDefault="00FB129F" w:rsidP="00971542">
      <w:pPr>
        <w:spacing w:after="0"/>
      </w:pPr>
      <w:r>
        <w:t>Demanding</w:t>
      </w:r>
    </w:p>
    <w:p w14:paraId="2494F6FA" w14:textId="77777777" w:rsidR="00ED22B5" w:rsidRDefault="00FB129F" w:rsidP="00971542">
      <w:pPr>
        <w:spacing w:after="0"/>
      </w:pPr>
      <w:r>
        <w:t>Oppositional/defiant</w:t>
      </w:r>
    </w:p>
    <w:p w14:paraId="01D3A6B9" w14:textId="77777777" w:rsidR="00AC2081" w:rsidRDefault="00ED22B5" w:rsidP="00971542">
      <w:pPr>
        <w:spacing w:after="0"/>
      </w:pPr>
      <w:r>
        <w:t xml:space="preserve">His/her diagnosis </w:t>
      </w:r>
      <w:r w:rsidR="006A79DB">
        <w:t xml:space="preserve"> </w:t>
      </w:r>
    </w:p>
    <w:p w14:paraId="2FAFA8C7" w14:textId="77777777" w:rsidR="00971542" w:rsidRDefault="00971542" w:rsidP="00971542">
      <w:pPr>
        <w:spacing w:after="0"/>
      </w:pPr>
    </w:p>
    <w:p w14:paraId="00EA9C29" w14:textId="77777777" w:rsidR="00971542" w:rsidRDefault="00971542">
      <w:pPr>
        <w:rPr>
          <w:b/>
        </w:rPr>
      </w:pPr>
      <w:r w:rsidRPr="00971542">
        <w:rPr>
          <w:b/>
        </w:rPr>
        <w:t xml:space="preserve">3 </w:t>
      </w:r>
      <w:r>
        <w:rPr>
          <w:b/>
        </w:rPr>
        <w:t>In congregate care, how, and how often are youth connected with their families?</w:t>
      </w:r>
    </w:p>
    <w:p w14:paraId="43758E69" w14:textId="77777777" w:rsidR="00971542" w:rsidRDefault="00971542">
      <w:r>
        <w:t>Do visits, phone calls, and therapeutic leaves start immediately u</w:t>
      </w:r>
      <w:r w:rsidRPr="00971542">
        <w:t>nless there is a safety</w:t>
      </w:r>
      <w:r>
        <w:t xml:space="preserve"> issue?</w:t>
      </w:r>
    </w:p>
    <w:p w14:paraId="0FE530DC" w14:textId="77777777" w:rsidR="00971542" w:rsidRDefault="00971542">
      <w:r>
        <w:t>How often are caregivers accessing staff? In person, via phone</w:t>
      </w:r>
      <w:r w:rsidR="009D75DD">
        <w:t>, in meetings</w:t>
      </w:r>
      <w:r>
        <w:t>?</w:t>
      </w:r>
    </w:p>
    <w:p w14:paraId="66901746" w14:textId="77777777" w:rsidR="00971542" w:rsidRDefault="00971542">
      <w:r>
        <w:tab/>
        <w:t>Is contact information given to fami</w:t>
      </w:r>
      <w:r w:rsidR="009D75DD">
        <w:t>ly and roles of staff explained?</w:t>
      </w:r>
    </w:p>
    <w:p w14:paraId="40D9D0D7" w14:textId="77777777" w:rsidR="009D75DD" w:rsidRDefault="009D75DD">
      <w:r>
        <w:t>Can youth call when they want or are phone calls restricted?</w:t>
      </w:r>
    </w:p>
    <w:p w14:paraId="7F2D9DF8" w14:textId="77777777" w:rsidR="00971542" w:rsidRDefault="00B55E48">
      <w:r>
        <w:t>Are</w:t>
      </w:r>
      <w:r w:rsidR="001316C5">
        <w:t xml:space="preserve"> direct care</w:t>
      </w:r>
      <w:r w:rsidR="00971542">
        <w:t xml:space="preserve"> staff </w:t>
      </w:r>
      <w:r>
        <w:t xml:space="preserve">members </w:t>
      </w:r>
      <w:r w:rsidR="00971542">
        <w:t>comfortable talking to caregivers and understand their role boundaries in doing so?</w:t>
      </w:r>
      <w:r w:rsidR="009D75DD">
        <w:t xml:space="preserve"> Is this part of their orientation? </w:t>
      </w:r>
    </w:p>
    <w:p w14:paraId="14123971" w14:textId="77777777" w:rsidR="00971542" w:rsidRDefault="00971542">
      <w:r>
        <w:t>Can all staff attend treatment team meetings?</w:t>
      </w:r>
    </w:p>
    <w:p w14:paraId="1A3271C1" w14:textId="77777777" w:rsidR="009D75DD" w:rsidRDefault="009D75DD">
      <w:r>
        <w:t>How often are youth connecting in the community at home and/or the community around the facility?</w:t>
      </w:r>
    </w:p>
    <w:p w14:paraId="1C42BA74" w14:textId="77777777" w:rsidR="009D75DD" w:rsidRDefault="009D75DD">
      <w:r>
        <w:tab/>
        <w:t>This includes work, volunteer work, visiting friends, shopping, going to a public school, church,</w:t>
      </w:r>
    </w:p>
    <w:p w14:paraId="46F7B69A" w14:textId="77777777" w:rsidR="009D75DD" w:rsidRDefault="009D75DD" w:rsidP="009D75DD">
      <w:pPr>
        <w:ind w:firstLine="720"/>
      </w:pPr>
      <w:r>
        <w:t>recreational activities</w:t>
      </w:r>
    </w:p>
    <w:p w14:paraId="28251035" w14:textId="77777777" w:rsidR="009D75DD" w:rsidRDefault="009D75DD" w:rsidP="009D75DD">
      <w:r>
        <w:t>Are youth going home (unless safety challenges exist) for important events in their families’ lives or their lives?  Holidays, funerals, prom, birthdays, graduations</w:t>
      </w:r>
    </w:p>
    <w:p w14:paraId="30EB8810" w14:textId="77777777" w:rsidR="00CF0172" w:rsidRDefault="00CF0172" w:rsidP="009D75DD">
      <w:pPr>
        <w:rPr>
          <w:b/>
        </w:rPr>
      </w:pPr>
      <w:r w:rsidRPr="00CF0172">
        <w:rPr>
          <w:b/>
        </w:rPr>
        <w:t>4 No Coercive practices</w:t>
      </w:r>
    </w:p>
    <w:p w14:paraId="56CF9A3D" w14:textId="77777777" w:rsidR="00CF0172" w:rsidRPr="00CF0172" w:rsidRDefault="00CF0172" w:rsidP="009D75DD">
      <w:r>
        <w:rPr>
          <w:b/>
        </w:rPr>
        <w:tab/>
      </w:r>
      <w:r w:rsidRPr="00CF0172">
        <w:t>No Points or Levels</w:t>
      </w:r>
    </w:p>
    <w:p w14:paraId="755CFA7C" w14:textId="77777777" w:rsidR="00CF0172" w:rsidRDefault="00CF0172" w:rsidP="009D75DD">
      <w:r w:rsidRPr="00CF0172">
        <w:tab/>
        <w:t>Reduction and elimination of restraints and seclusion</w:t>
      </w:r>
    </w:p>
    <w:p w14:paraId="0B026F92" w14:textId="77777777" w:rsidR="002C58CB" w:rsidRPr="00CF0172" w:rsidRDefault="002C58CB" w:rsidP="009D75DD">
      <w:r>
        <w:tab/>
        <w:t>No threats of losing time with family for rule infractions</w:t>
      </w:r>
    </w:p>
    <w:p w14:paraId="777EE5B7" w14:textId="77777777" w:rsidR="009D75DD" w:rsidRDefault="009D75DD">
      <w:r>
        <w:tab/>
      </w:r>
    </w:p>
    <w:p w14:paraId="5A3F87BA" w14:textId="77777777" w:rsidR="00971542" w:rsidRPr="00971542" w:rsidRDefault="00971542"/>
    <w:p w14:paraId="5246DA4A" w14:textId="77777777" w:rsidR="00AC2081" w:rsidRPr="00AC2081" w:rsidRDefault="00AC2081"/>
    <w:sectPr w:rsidR="00AC2081" w:rsidRPr="00AC2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0E3F"/>
    <w:multiLevelType w:val="hybridMultilevel"/>
    <w:tmpl w:val="77D0F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A22B0"/>
    <w:multiLevelType w:val="hybridMultilevel"/>
    <w:tmpl w:val="0DE8EC76"/>
    <w:lvl w:ilvl="0" w:tplc="363643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2890132">
    <w:abstractNumId w:val="0"/>
  </w:num>
  <w:num w:numId="2" w16cid:durableId="1038161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875"/>
    <w:rsid w:val="00050764"/>
    <w:rsid w:val="000E5C5F"/>
    <w:rsid w:val="00122D4A"/>
    <w:rsid w:val="001316C5"/>
    <w:rsid w:val="001C4ECC"/>
    <w:rsid w:val="002C58CB"/>
    <w:rsid w:val="002D70DB"/>
    <w:rsid w:val="003A1EEC"/>
    <w:rsid w:val="003C7B71"/>
    <w:rsid w:val="006A79DB"/>
    <w:rsid w:val="00874EEB"/>
    <w:rsid w:val="00971542"/>
    <w:rsid w:val="009D75DD"/>
    <w:rsid w:val="00A65629"/>
    <w:rsid w:val="00A84584"/>
    <w:rsid w:val="00AC2081"/>
    <w:rsid w:val="00B55E48"/>
    <w:rsid w:val="00BB2875"/>
    <w:rsid w:val="00CF0172"/>
    <w:rsid w:val="00CF42D6"/>
    <w:rsid w:val="00ED22B5"/>
    <w:rsid w:val="00F906E5"/>
    <w:rsid w:val="00FB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4AF9A"/>
  <w15:chartTrackingRefBased/>
  <w15:docId w15:val="{E62E7B76-3918-4051-9233-7191024F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0B2DC2-49B0-48C4-9D8A-5FACDEE07D49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0CC9E23-CBBB-4FEA-AEAF-1B80380FCCF9}">
      <dgm:prSet phldrT="[Text]" custT="1"/>
      <dgm:spPr/>
      <dgm:t>
        <a:bodyPr/>
        <a:lstStyle/>
        <a:p>
          <a:r>
            <a:rPr lang="en-US" sz="2400"/>
            <a:t>Family Friendly</a:t>
          </a:r>
        </a:p>
      </dgm:t>
    </dgm:pt>
    <dgm:pt modelId="{980B305E-B309-46AC-8894-E3A00EADF821}" type="parTrans" cxnId="{B05D6765-64E9-430A-980A-FA72CDC120D4}">
      <dgm:prSet/>
      <dgm:spPr/>
      <dgm:t>
        <a:bodyPr/>
        <a:lstStyle/>
        <a:p>
          <a:endParaRPr lang="en-US"/>
        </a:p>
      </dgm:t>
    </dgm:pt>
    <dgm:pt modelId="{8C0690D4-0908-4C41-BE57-F4FF0CFD6B95}" type="sibTrans" cxnId="{B05D6765-64E9-430A-980A-FA72CDC120D4}">
      <dgm:prSet/>
      <dgm:spPr/>
      <dgm:t>
        <a:bodyPr/>
        <a:lstStyle/>
        <a:p>
          <a:endParaRPr lang="en-US"/>
        </a:p>
      </dgm:t>
    </dgm:pt>
    <dgm:pt modelId="{5C04497F-A4FC-4F9B-98E3-7A3FA0D7A171}">
      <dgm:prSet phldrT="[Text]" custT="1"/>
      <dgm:spPr/>
      <dgm:t>
        <a:bodyPr/>
        <a:lstStyle/>
        <a:p>
          <a:r>
            <a:rPr lang="en-US" sz="2400"/>
            <a:t>Not Family Friendly</a:t>
          </a:r>
        </a:p>
      </dgm:t>
    </dgm:pt>
    <dgm:pt modelId="{5F6E69EE-1FFA-4692-A2AE-834C831D4453}" type="parTrans" cxnId="{7E0DBDED-4E8F-4175-9E16-717868D765D7}">
      <dgm:prSet/>
      <dgm:spPr/>
      <dgm:t>
        <a:bodyPr/>
        <a:lstStyle/>
        <a:p>
          <a:endParaRPr lang="en-US"/>
        </a:p>
      </dgm:t>
    </dgm:pt>
    <dgm:pt modelId="{C66F977A-E5D4-4561-8ADE-5BF974ABE1CC}" type="sibTrans" cxnId="{7E0DBDED-4E8F-4175-9E16-717868D765D7}">
      <dgm:prSet/>
      <dgm:spPr/>
      <dgm:t>
        <a:bodyPr/>
        <a:lstStyle/>
        <a:p>
          <a:endParaRPr lang="en-US"/>
        </a:p>
      </dgm:t>
    </dgm:pt>
    <dgm:pt modelId="{1E74512D-F24B-4901-B1C7-B8952DD6C877}" type="pres">
      <dgm:prSet presAssocID="{050B2DC2-49B0-48C4-9D8A-5FACDEE07D49}" presName="diagram" presStyleCnt="0">
        <dgm:presLayoutVars>
          <dgm:dir/>
          <dgm:resizeHandles val="exact"/>
        </dgm:presLayoutVars>
      </dgm:prSet>
      <dgm:spPr/>
    </dgm:pt>
    <dgm:pt modelId="{5C0A74EA-94CB-4518-95D2-CFD9E00FE453}" type="pres">
      <dgm:prSet presAssocID="{20CC9E23-CBBB-4FEA-AEAF-1B80380FCCF9}" presName="node" presStyleLbl="node1" presStyleIdx="0" presStyleCnt="2" custScaleY="24717">
        <dgm:presLayoutVars>
          <dgm:bulletEnabled val="1"/>
        </dgm:presLayoutVars>
      </dgm:prSet>
      <dgm:spPr/>
    </dgm:pt>
    <dgm:pt modelId="{58190726-4F3B-4A4D-AFD2-A530BAF67BAB}" type="pres">
      <dgm:prSet presAssocID="{8C0690D4-0908-4C41-BE57-F4FF0CFD6B95}" presName="sibTrans" presStyleCnt="0"/>
      <dgm:spPr/>
    </dgm:pt>
    <dgm:pt modelId="{1C3F623D-1821-4D69-ABDF-FBBF15AB555D}" type="pres">
      <dgm:prSet presAssocID="{5C04497F-A4FC-4F9B-98E3-7A3FA0D7A171}" presName="node" presStyleLbl="node1" presStyleIdx="1" presStyleCnt="2" custScaleY="19855">
        <dgm:presLayoutVars>
          <dgm:bulletEnabled val="1"/>
        </dgm:presLayoutVars>
      </dgm:prSet>
      <dgm:spPr/>
    </dgm:pt>
  </dgm:ptLst>
  <dgm:cxnLst>
    <dgm:cxn modelId="{63766111-8165-4596-8C82-DE901425A882}" type="presOf" srcId="{20CC9E23-CBBB-4FEA-AEAF-1B80380FCCF9}" destId="{5C0A74EA-94CB-4518-95D2-CFD9E00FE453}" srcOrd="0" destOrd="0" presId="urn:microsoft.com/office/officeart/2005/8/layout/default"/>
    <dgm:cxn modelId="{43E3A04F-A59E-4891-8B5B-72EFD5CF769B}" type="presOf" srcId="{5C04497F-A4FC-4F9B-98E3-7A3FA0D7A171}" destId="{1C3F623D-1821-4D69-ABDF-FBBF15AB555D}" srcOrd="0" destOrd="0" presId="urn:microsoft.com/office/officeart/2005/8/layout/default"/>
    <dgm:cxn modelId="{B05D6765-64E9-430A-980A-FA72CDC120D4}" srcId="{050B2DC2-49B0-48C4-9D8A-5FACDEE07D49}" destId="{20CC9E23-CBBB-4FEA-AEAF-1B80380FCCF9}" srcOrd="0" destOrd="0" parTransId="{980B305E-B309-46AC-8894-E3A00EADF821}" sibTransId="{8C0690D4-0908-4C41-BE57-F4FF0CFD6B95}"/>
    <dgm:cxn modelId="{7E0DBDED-4E8F-4175-9E16-717868D765D7}" srcId="{050B2DC2-49B0-48C4-9D8A-5FACDEE07D49}" destId="{5C04497F-A4FC-4F9B-98E3-7A3FA0D7A171}" srcOrd="1" destOrd="0" parTransId="{5F6E69EE-1FFA-4692-A2AE-834C831D4453}" sibTransId="{C66F977A-E5D4-4561-8ADE-5BF974ABE1CC}"/>
    <dgm:cxn modelId="{7DB1F9ED-E92B-458F-8735-06E7FE848467}" type="presOf" srcId="{050B2DC2-49B0-48C4-9D8A-5FACDEE07D49}" destId="{1E74512D-F24B-4901-B1C7-B8952DD6C877}" srcOrd="0" destOrd="0" presId="urn:microsoft.com/office/officeart/2005/8/layout/default"/>
    <dgm:cxn modelId="{1015335B-7B18-40C8-9BC2-AD272CE25CE7}" type="presParOf" srcId="{1E74512D-F24B-4901-B1C7-B8952DD6C877}" destId="{5C0A74EA-94CB-4518-95D2-CFD9E00FE453}" srcOrd="0" destOrd="0" presId="urn:microsoft.com/office/officeart/2005/8/layout/default"/>
    <dgm:cxn modelId="{6E43A8BE-3CB0-40F1-B8F3-510F29DB4E88}" type="presParOf" srcId="{1E74512D-F24B-4901-B1C7-B8952DD6C877}" destId="{58190726-4F3B-4A4D-AFD2-A530BAF67BAB}" srcOrd="1" destOrd="0" presId="urn:microsoft.com/office/officeart/2005/8/layout/default"/>
    <dgm:cxn modelId="{DF7EE41E-2495-48ED-8226-D4CC7D216BF2}" type="presParOf" srcId="{1E74512D-F24B-4901-B1C7-B8952DD6C877}" destId="{1C3F623D-1821-4D69-ABDF-FBBF15AB555D}" srcOrd="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0A74EA-94CB-4518-95D2-CFD9E00FE453}">
      <dsp:nvSpPr>
        <dsp:cNvPr id="0" name=""/>
        <dsp:cNvSpPr/>
      </dsp:nvSpPr>
      <dsp:spPr>
        <a:xfrm>
          <a:off x="669" y="9522"/>
          <a:ext cx="2611933" cy="3873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Family Friendly</a:t>
          </a:r>
        </a:p>
      </dsp:txBody>
      <dsp:txXfrm>
        <a:off x="669" y="9522"/>
        <a:ext cx="2611933" cy="387354"/>
      </dsp:txXfrm>
    </dsp:sp>
    <dsp:sp modelId="{1C3F623D-1821-4D69-ABDF-FBBF15AB555D}">
      <dsp:nvSpPr>
        <dsp:cNvPr id="0" name=""/>
        <dsp:cNvSpPr/>
      </dsp:nvSpPr>
      <dsp:spPr>
        <a:xfrm>
          <a:off x="2873796" y="47620"/>
          <a:ext cx="2611933" cy="3111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Not Family Friendly</a:t>
          </a:r>
        </a:p>
      </dsp:txBody>
      <dsp:txXfrm>
        <a:off x="2873796" y="47620"/>
        <a:ext cx="2611933" cy="3111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D9ADEE781A24A8CE0D7D31725E291" ma:contentTypeVersion="16" ma:contentTypeDescription="Create a new document." ma:contentTypeScope="" ma:versionID="2aab53d6f457b2b81e3599aa3b90c00d">
  <xsd:schema xmlns:xsd="http://www.w3.org/2001/XMLSchema" xmlns:xs="http://www.w3.org/2001/XMLSchema" xmlns:p="http://schemas.microsoft.com/office/2006/metadata/properties" xmlns:ns2="a094b7c2-8830-4290-84a9-e796eef7fa1d" xmlns:ns3="b3206448-8609-48ed-8e05-2aa7e0d04fd6" targetNamespace="http://schemas.microsoft.com/office/2006/metadata/properties" ma:root="true" ma:fieldsID="5ae3126c5b986bceb01c98d8f354cf22" ns2:_="" ns3:_="">
    <xsd:import namespace="a094b7c2-8830-4290-84a9-e796eef7fa1d"/>
    <xsd:import namespace="b3206448-8609-48ed-8e05-2aa7e0d04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4b7c2-8830-4290-84a9-e796eef7f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Thumbnail" ma:index="13" nillable="true" ma:displayName="Thumbnail" ma:format="Thumbnail" ma:internalName="Thumbnail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fc26175-bb21-4ba0-a9dd-362d526d93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06448-8609-48ed-8e05-2aa7e0d04fd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3217e06-cc23-4053-9c26-4e195630e463}" ma:internalName="TaxCatchAll" ma:showField="CatchAllData" ma:web="b3206448-8609-48ed-8e05-2aa7e0d04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C4C5FD-DF79-4C71-9B38-D7D7A69299F1}"/>
</file>

<file path=customXml/itemProps2.xml><?xml version="1.0" encoding="utf-8"?>
<ds:datastoreItem xmlns:ds="http://schemas.openxmlformats.org/officeDocument/2006/customXml" ds:itemID="{0C9BFBAD-82B4-4FDD-A652-6F05138D5A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Mader,  Paulette Mary</dc:creator>
  <cp:keywords/>
  <dc:description/>
  <cp:lastModifiedBy>William Martone</cp:lastModifiedBy>
  <cp:revision>3</cp:revision>
  <dcterms:created xsi:type="dcterms:W3CDTF">2022-08-11T16:41:00Z</dcterms:created>
  <dcterms:modified xsi:type="dcterms:W3CDTF">2022-08-11T17:27:00Z</dcterms:modified>
</cp:coreProperties>
</file>